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9F" w:rsidRPr="00AD689F" w:rsidRDefault="00AD689F" w:rsidP="00AD689F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AD689F">
        <w:rPr>
          <w:rFonts w:ascii="Verdana" w:hAnsi="Verdana"/>
          <w:b/>
          <w:sz w:val="24"/>
          <w:szCs w:val="24"/>
        </w:rPr>
        <w:t>DISCRECION Y EFECTIVIDAD</w:t>
      </w:r>
    </w:p>
    <w:p w:rsidR="00AD689F" w:rsidRDefault="00AD689F" w:rsidP="00D059CB">
      <w:pPr>
        <w:jc w:val="both"/>
        <w:rPr>
          <w:rFonts w:ascii="Verdana" w:hAnsi="Verdana"/>
          <w:sz w:val="24"/>
          <w:szCs w:val="24"/>
        </w:rPr>
      </w:pPr>
    </w:p>
    <w:p w:rsidR="00423E5F" w:rsidRDefault="00BE71DC" w:rsidP="00D059CB">
      <w:pPr>
        <w:jc w:val="both"/>
        <w:rPr>
          <w:rFonts w:ascii="Verdana" w:hAnsi="Verdana"/>
          <w:sz w:val="24"/>
          <w:szCs w:val="24"/>
        </w:rPr>
      </w:pPr>
      <w:r w:rsidRPr="00BE71DC">
        <w:rPr>
          <w:rFonts w:ascii="Verdana" w:hAnsi="Verdana"/>
          <w:sz w:val="24"/>
          <w:szCs w:val="24"/>
        </w:rPr>
        <w:t>Los mercados financieros funcionan de manera extra</w:t>
      </w:r>
      <w:r w:rsidR="00065702">
        <w:rPr>
          <w:rFonts w:ascii="Verdana" w:hAnsi="Verdana"/>
          <w:sz w:val="24"/>
          <w:szCs w:val="24"/>
        </w:rPr>
        <w:t xml:space="preserve">ña, </w:t>
      </w:r>
      <w:r w:rsidR="00CE3429">
        <w:rPr>
          <w:rFonts w:ascii="Verdana" w:hAnsi="Verdana"/>
          <w:sz w:val="24"/>
          <w:szCs w:val="24"/>
        </w:rPr>
        <w:t>como lo revela la reciente</w:t>
      </w:r>
      <w:r>
        <w:rPr>
          <w:rFonts w:ascii="Verdana" w:hAnsi="Verdana"/>
          <w:sz w:val="24"/>
          <w:szCs w:val="24"/>
        </w:rPr>
        <w:t xml:space="preserve"> alza del dólar frente al peso mexicano.</w:t>
      </w:r>
    </w:p>
    <w:p w:rsidR="00BE71DC" w:rsidRDefault="00BE71DC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Hace menos de un mes, el destino económico de Grecia y del euro pen</w:t>
      </w:r>
      <w:r w:rsidR="00065702">
        <w:rPr>
          <w:rFonts w:ascii="Verdana" w:hAnsi="Verdana"/>
          <w:sz w:val="24"/>
          <w:szCs w:val="24"/>
        </w:rPr>
        <w:t>dían de un hilo muy delgado</w:t>
      </w:r>
      <w:r w:rsidRPr="00BE71DC">
        <w:rPr>
          <w:rFonts w:ascii="Verdana" w:hAnsi="Verdana"/>
          <w:sz w:val="24"/>
          <w:szCs w:val="24"/>
        </w:rPr>
        <w:t>; a su vez, la bolsa de valores de China se desplom</w:t>
      </w:r>
      <w:r>
        <w:rPr>
          <w:rFonts w:ascii="Verdana" w:hAnsi="Verdana"/>
          <w:sz w:val="24"/>
          <w:szCs w:val="24"/>
        </w:rPr>
        <w:t>ó estrepitosamente, sembrando el nerviosismo entre los inversionistas</w:t>
      </w:r>
      <w:r w:rsidR="00CE3429">
        <w:rPr>
          <w:rFonts w:ascii="Verdana" w:hAnsi="Verdana"/>
          <w:sz w:val="24"/>
          <w:szCs w:val="24"/>
        </w:rPr>
        <w:t xml:space="preserve"> internacionales</w:t>
      </w:r>
      <w:r>
        <w:rPr>
          <w:rFonts w:ascii="Verdana" w:hAnsi="Verdana"/>
          <w:sz w:val="24"/>
          <w:szCs w:val="24"/>
        </w:rPr>
        <w:t xml:space="preserve">. Ambas situaciones se resolvieron favorablemente </w:t>
      </w:r>
      <w:r w:rsidR="00382999">
        <w:rPr>
          <w:rFonts w:ascii="Verdana" w:hAnsi="Verdana"/>
          <w:sz w:val="24"/>
          <w:szCs w:val="24"/>
        </w:rPr>
        <w:t>(</w:t>
      </w:r>
      <w:r w:rsidR="00F25F45" w:rsidRPr="00F25F45">
        <w:rPr>
          <w:rFonts w:ascii="Verdana" w:hAnsi="Verdana"/>
          <w:sz w:val="24"/>
          <w:szCs w:val="24"/>
        </w:rPr>
        <w:t xml:space="preserve">por el momento), y </w:t>
      </w:r>
      <w:r w:rsidR="00F25F45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>as aguas se tranquilizaron</w:t>
      </w:r>
      <w:r w:rsidR="00F25F45">
        <w:rPr>
          <w:rFonts w:ascii="Verdana" w:hAnsi="Verdana"/>
          <w:sz w:val="24"/>
          <w:szCs w:val="24"/>
        </w:rPr>
        <w:t>. Acto segu</w:t>
      </w:r>
      <w:r w:rsidR="005F5235">
        <w:rPr>
          <w:rFonts w:ascii="Verdana" w:hAnsi="Verdana"/>
          <w:sz w:val="24"/>
          <w:szCs w:val="24"/>
        </w:rPr>
        <w:t xml:space="preserve">ido, las bolsas </w:t>
      </w:r>
      <w:r w:rsidR="00360725">
        <w:rPr>
          <w:rFonts w:ascii="Verdana" w:hAnsi="Verdana"/>
          <w:sz w:val="24"/>
          <w:szCs w:val="24"/>
        </w:rPr>
        <w:t xml:space="preserve">de EUA y de Europa </w:t>
      </w:r>
      <w:r w:rsidR="005F5235">
        <w:rPr>
          <w:rFonts w:ascii="Verdana" w:hAnsi="Verdana"/>
          <w:sz w:val="24"/>
          <w:szCs w:val="24"/>
        </w:rPr>
        <w:t>se recu</w:t>
      </w:r>
      <w:r w:rsidR="00065702">
        <w:rPr>
          <w:rFonts w:ascii="Verdana" w:hAnsi="Verdana"/>
          <w:sz w:val="24"/>
          <w:szCs w:val="24"/>
        </w:rPr>
        <w:t>peraron de las pérdidas previas</w:t>
      </w:r>
      <w:r w:rsidR="00360725">
        <w:rPr>
          <w:rFonts w:ascii="Verdana" w:hAnsi="Verdana"/>
          <w:sz w:val="24"/>
          <w:szCs w:val="24"/>
        </w:rPr>
        <w:t>.</w:t>
      </w:r>
    </w:p>
    <w:p w:rsidR="00360725" w:rsidRDefault="00360725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contraste, las aguas del mercado cambiario </w:t>
      </w:r>
      <w:r w:rsidR="00CE3429">
        <w:rPr>
          <w:rFonts w:ascii="Verdana" w:hAnsi="Verdana"/>
          <w:sz w:val="24"/>
          <w:szCs w:val="24"/>
        </w:rPr>
        <w:t xml:space="preserve">mexicano se agitaron. El peso perdió 3.6 por ciento en lo que va de julio. Este encarecimiento del dólar </w:t>
      </w:r>
      <w:r w:rsidR="000F4B4D">
        <w:rPr>
          <w:rFonts w:ascii="Verdana" w:hAnsi="Verdana"/>
          <w:sz w:val="24"/>
          <w:szCs w:val="24"/>
        </w:rPr>
        <w:t>no es exclusivo de nuestro país,</w:t>
      </w:r>
      <w:r w:rsidR="00CE3429">
        <w:rPr>
          <w:rFonts w:ascii="Verdana" w:hAnsi="Verdana"/>
          <w:sz w:val="24"/>
          <w:szCs w:val="24"/>
        </w:rPr>
        <w:t xml:space="preserve"> </w:t>
      </w:r>
      <w:r w:rsidR="000F4B4D">
        <w:rPr>
          <w:rFonts w:ascii="Verdana" w:hAnsi="Verdana"/>
          <w:sz w:val="24"/>
          <w:szCs w:val="24"/>
        </w:rPr>
        <w:t>l</w:t>
      </w:r>
      <w:r w:rsidR="00CE3429">
        <w:rPr>
          <w:rFonts w:ascii="Verdana" w:hAnsi="Verdana"/>
          <w:sz w:val="24"/>
          <w:szCs w:val="24"/>
        </w:rPr>
        <w:t>e ha ocurrido algo parecido a la mayoría de las paridades</w:t>
      </w:r>
      <w:r w:rsidR="000F4B4D">
        <w:rPr>
          <w:rFonts w:ascii="Verdana" w:hAnsi="Verdana"/>
          <w:sz w:val="24"/>
          <w:szCs w:val="24"/>
        </w:rPr>
        <w:t xml:space="preserve"> </w:t>
      </w:r>
      <w:r w:rsidR="00CE3429">
        <w:rPr>
          <w:rFonts w:ascii="Verdana" w:hAnsi="Verdana"/>
          <w:sz w:val="24"/>
          <w:szCs w:val="24"/>
        </w:rPr>
        <w:t xml:space="preserve">de los países emergentes. </w:t>
      </w:r>
    </w:p>
    <w:p w:rsidR="00CE3429" w:rsidRDefault="00CE3429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El dólar estadounidense está imparable. Es el refugio preferido de los inversionistas en el mundo debido al fortalecimiento de su economía y a la inminencia de un incremento de las tasas de interés.</w:t>
      </w:r>
    </w:p>
    <w:p w:rsidR="00CE3429" w:rsidRDefault="00C706F5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Poco a poco los instrumentos de largo plazo en EUA, por ejemplo los bonos del Tesoro, han incrementado sus rendimientos. Actualmente ofrecen una tasa de interés de 2 por ciento a plazo de siete años, incrementándose paulatinamente hasta casi 3 por ciento a 30 años.</w:t>
      </w:r>
    </w:p>
    <w:p w:rsidR="00C706F5" w:rsidRDefault="00C706F5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Ciertament</w:t>
      </w:r>
      <w:r w:rsidR="00A04FA8">
        <w:rPr>
          <w:rFonts w:ascii="Verdana" w:hAnsi="Verdana"/>
          <w:sz w:val="24"/>
          <w:szCs w:val="24"/>
        </w:rPr>
        <w:t>e no son grandes ganancias</w:t>
      </w:r>
      <w:r>
        <w:rPr>
          <w:rFonts w:ascii="Verdana" w:hAnsi="Verdana"/>
          <w:sz w:val="24"/>
          <w:szCs w:val="24"/>
        </w:rPr>
        <w:t xml:space="preserve"> pero sumadas a la revaluación del dólar </w:t>
      </w:r>
      <w:r w:rsidR="00A04FA8">
        <w:rPr>
          <w:rFonts w:ascii="Verdana" w:hAnsi="Verdana"/>
          <w:sz w:val="24"/>
          <w:szCs w:val="24"/>
        </w:rPr>
        <w:t xml:space="preserve">frente a otras monedas, </w:t>
      </w:r>
      <w:r>
        <w:rPr>
          <w:rFonts w:ascii="Verdana" w:hAnsi="Verdana"/>
          <w:sz w:val="24"/>
          <w:szCs w:val="24"/>
        </w:rPr>
        <w:t>hacen más atractivas las inversiones en activos denominados en la moneda estadounidense.</w:t>
      </w:r>
    </w:p>
    <w:p w:rsidR="00775AA5" w:rsidRDefault="00C706F5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Para propósitos meramente ilustrativos considére</w:t>
      </w:r>
      <w:r w:rsidR="00312A94">
        <w:rPr>
          <w:rFonts w:ascii="Verdana" w:hAnsi="Verdana"/>
          <w:sz w:val="24"/>
          <w:szCs w:val="24"/>
        </w:rPr>
        <w:t>nse dos</w:t>
      </w:r>
      <w:r>
        <w:rPr>
          <w:rFonts w:ascii="Verdana" w:hAnsi="Verdana"/>
          <w:sz w:val="24"/>
          <w:szCs w:val="24"/>
        </w:rPr>
        <w:t xml:space="preserve"> inversionista</w:t>
      </w:r>
      <w:r w:rsidR="00230955">
        <w:rPr>
          <w:rFonts w:ascii="Verdana" w:hAnsi="Verdana"/>
          <w:sz w:val="24"/>
          <w:szCs w:val="24"/>
        </w:rPr>
        <w:t>s</w:t>
      </w:r>
      <w:r w:rsidR="00D059CB">
        <w:rPr>
          <w:rFonts w:ascii="Verdana" w:hAnsi="Verdana"/>
          <w:sz w:val="24"/>
          <w:szCs w:val="24"/>
        </w:rPr>
        <w:t>,</w:t>
      </w:r>
      <w:r w:rsidR="00312A9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que habiendo evaluado las condiciones de riesgo de México hubiera</w:t>
      </w:r>
      <w:r w:rsidR="00312A94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 xml:space="preserve"> tenido parte de su cartera en </w:t>
      </w:r>
      <w:r w:rsidR="00312A94">
        <w:rPr>
          <w:rFonts w:ascii="Verdana" w:hAnsi="Verdana"/>
          <w:sz w:val="24"/>
          <w:szCs w:val="24"/>
        </w:rPr>
        <w:t>bonos del gobierno mexicano, desde hace largo tiempo, y que a principios de enero de 2015 estuvieran en la disyuntiva de mantener sus fondos en México o retirarse</w:t>
      </w:r>
      <w:r w:rsidR="001935DA">
        <w:rPr>
          <w:rFonts w:ascii="Verdana" w:hAnsi="Verdana"/>
          <w:sz w:val="24"/>
          <w:szCs w:val="24"/>
        </w:rPr>
        <w:t xml:space="preserve"> del país</w:t>
      </w:r>
      <w:r w:rsidR="00312A94">
        <w:rPr>
          <w:rFonts w:ascii="Verdana" w:hAnsi="Verdana"/>
          <w:sz w:val="24"/>
          <w:szCs w:val="24"/>
        </w:rPr>
        <w:t>.</w:t>
      </w:r>
    </w:p>
    <w:p w:rsidR="00BE7192" w:rsidRDefault="00312A94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Supóngase que uno permaneció en nuestro país y el otro decidió liquidar sus inversiones en México y trasladarlas a EUA y que en ambos casos invirtieron en instrumentos a plazo de diez años. El más fiel a Méx</w:t>
      </w:r>
      <w:r w:rsidR="006014DC">
        <w:rPr>
          <w:rFonts w:ascii="Verdana" w:hAnsi="Verdana"/>
          <w:sz w:val="24"/>
          <w:szCs w:val="24"/>
        </w:rPr>
        <w:t xml:space="preserve">ico obtuvo un rendimiento </w:t>
      </w:r>
      <w:r>
        <w:rPr>
          <w:rFonts w:ascii="Verdana" w:hAnsi="Verdana"/>
          <w:sz w:val="24"/>
          <w:szCs w:val="24"/>
        </w:rPr>
        <w:t xml:space="preserve">de aproximadamente </w:t>
      </w:r>
      <w:r w:rsidR="001F6E42">
        <w:rPr>
          <w:rFonts w:ascii="Verdana" w:hAnsi="Verdana"/>
          <w:sz w:val="24"/>
          <w:szCs w:val="24"/>
        </w:rPr>
        <w:t>6 por ciento</w:t>
      </w:r>
      <w:r w:rsidR="006014DC">
        <w:rPr>
          <w:rFonts w:ascii="Verdana" w:hAnsi="Verdana"/>
          <w:sz w:val="24"/>
          <w:szCs w:val="24"/>
        </w:rPr>
        <w:t xml:space="preserve"> anual</w:t>
      </w:r>
      <w:r w:rsidR="001F6E42">
        <w:rPr>
          <w:rFonts w:ascii="Verdana" w:hAnsi="Verdana"/>
          <w:sz w:val="24"/>
          <w:szCs w:val="24"/>
        </w:rPr>
        <w:t xml:space="preserve">. </w:t>
      </w:r>
      <w:r w:rsidR="009D7836">
        <w:rPr>
          <w:rFonts w:ascii="Verdana" w:hAnsi="Verdana"/>
          <w:sz w:val="24"/>
          <w:szCs w:val="24"/>
        </w:rPr>
        <w:t>A su vez, aquél que liquidó sus inversiones y de pesos las transformó a dólares obtuvo un rendimiento anual de aproximadamente 12 por ciento, o sea el doble del primero</w:t>
      </w:r>
      <w:r w:rsidR="00A04FA8">
        <w:rPr>
          <w:rFonts w:ascii="Verdana" w:hAnsi="Verdana"/>
          <w:sz w:val="24"/>
          <w:szCs w:val="24"/>
        </w:rPr>
        <w:t>,</w:t>
      </w:r>
      <w:r w:rsidR="009D7836">
        <w:rPr>
          <w:rFonts w:ascii="Verdana" w:hAnsi="Verdana"/>
          <w:sz w:val="24"/>
          <w:szCs w:val="24"/>
        </w:rPr>
        <w:t xml:space="preserve"> debido primordialmente a la devalua</w:t>
      </w:r>
      <w:r w:rsidR="0064686E">
        <w:rPr>
          <w:rFonts w:ascii="Verdana" w:hAnsi="Verdana"/>
          <w:sz w:val="24"/>
          <w:szCs w:val="24"/>
        </w:rPr>
        <w:t>ción del peso frente al dólar ocurrida durante</w:t>
      </w:r>
      <w:r w:rsidR="009D7836">
        <w:rPr>
          <w:rFonts w:ascii="Verdana" w:hAnsi="Verdana"/>
          <w:sz w:val="24"/>
          <w:szCs w:val="24"/>
        </w:rPr>
        <w:t xml:space="preserve"> los primeros siete meses de este año.</w:t>
      </w:r>
    </w:p>
    <w:p w:rsidR="00C706F5" w:rsidRDefault="00822B21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Más aún, </w:t>
      </w:r>
      <w:r w:rsidR="00747D0E">
        <w:rPr>
          <w:rFonts w:ascii="Verdana" w:hAnsi="Verdana"/>
          <w:sz w:val="24"/>
          <w:szCs w:val="24"/>
        </w:rPr>
        <w:t>imagínese que</w:t>
      </w:r>
      <w:r w:rsidR="00775AA5">
        <w:rPr>
          <w:rFonts w:ascii="Verdana" w:hAnsi="Verdana"/>
          <w:sz w:val="24"/>
          <w:szCs w:val="24"/>
        </w:rPr>
        <w:t xml:space="preserve"> ambos inversionistas están convencidos que nuestro país es la mejor opción de los países emergentes para mantener </w:t>
      </w:r>
      <w:r w:rsidR="006014DC">
        <w:rPr>
          <w:rFonts w:ascii="Verdana" w:hAnsi="Verdana"/>
          <w:sz w:val="24"/>
          <w:szCs w:val="24"/>
        </w:rPr>
        <w:t>en forma cuasi-permanente</w:t>
      </w:r>
      <w:r w:rsidR="006014DC" w:rsidRPr="006014DC">
        <w:rPr>
          <w:rFonts w:ascii="Verdana" w:hAnsi="Verdana"/>
          <w:sz w:val="24"/>
          <w:szCs w:val="24"/>
        </w:rPr>
        <w:t xml:space="preserve"> </w:t>
      </w:r>
      <w:r w:rsidR="00775AA5">
        <w:rPr>
          <w:rFonts w:ascii="Verdana" w:hAnsi="Verdana"/>
          <w:sz w:val="24"/>
          <w:szCs w:val="24"/>
        </w:rPr>
        <w:t>una parte de su cartera.</w:t>
      </w:r>
      <w:r w:rsidR="006F6452">
        <w:rPr>
          <w:rFonts w:ascii="Verdana" w:hAnsi="Verdana"/>
          <w:sz w:val="24"/>
          <w:szCs w:val="24"/>
        </w:rPr>
        <w:t xml:space="preserve"> Aún en estas condiciones hay un incentivo perverso de los inversi</w:t>
      </w:r>
      <w:r w:rsidR="00A71CBD">
        <w:rPr>
          <w:rFonts w:ascii="Verdana" w:hAnsi="Verdana"/>
          <w:sz w:val="24"/>
          <w:szCs w:val="24"/>
        </w:rPr>
        <w:t xml:space="preserve">onistas financieros </w:t>
      </w:r>
      <w:r w:rsidR="006F6452">
        <w:rPr>
          <w:rFonts w:ascii="Verdana" w:hAnsi="Verdana"/>
          <w:sz w:val="24"/>
          <w:szCs w:val="24"/>
        </w:rPr>
        <w:t xml:space="preserve">para </w:t>
      </w:r>
      <w:r w:rsidR="00580EB7">
        <w:rPr>
          <w:rFonts w:ascii="Verdana" w:hAnsi="Verdana"/>
          <w:sz w:val="24"/>
          <w:szCs w:val="24"/>
        </w:rPr>
        <w:t xml:space="preserve">retirarse de México, en tanto </w:t>
      </w:r>
      <w:r w:rsidR="006F6452">
        <w:rPr>
          <w:rFonts w:ascii="Verdana" w:hAnsi="Verdana"/>
          <w:sz w:val="24"/>
          <w:szCs w:val="24"/>
        </w:rPr>
        <w:t xml:space="preserve">el peso siga devaluándose y regresar </w:t>
      </w:r>
      <w:r w:rsidR="006F6452">
        <w:rPr>
          <w:rFonts w:ascii="Verdana" w:hAnsi="Verdana"/>
          <w:sz w:val="24"/>
          <w:szCs w:val="24"/>
        </w:rPr>
        <w:lastRenderedPageBreak/>
        <w:t>posteriormente con un capital acrecentado.</w:t>
      </w:r>
      <w:r w:rsidR="001F434F">
        <w:rPr>
          <w:rFonts w:ascii="Verdana" w:hAnsi="Verdana"/>
          <w:sz w:val="24"/>
          <w:szCs w:val="24"/>
        </w:rPr>
        <w:t xml:space="preserve"> Entre mayor sea el debilitamiento del peso, mayor el incentivo a que los inversionistas</w:t>
      </w:r>
      <w:r w:rsidR="00BA012A">
        <w:rPr>
          <w:rFonts w:ascii="Verdana" w:hAnsi="Verdana"/>
          <w:sz w:val="24"/>
          <w:szCs w:val="24"/>
        </w:rPr>
        <w:t xml:space="preserve"> </w:t>
      </w:r>
      <w:r w:rsidR="001F434F">
        <w:rPr>
          <w:rFonts w:ascii="Verdana" w:hAnsi="Verdana"/>
          <w:sz w:val="24"/>
          <w:szCs w:val="24"/>
        </w:rPr>
        <w:t>se salgan</w:t>
      </w:r>
      <w:r w:rsidR="001423CC">
        <w:rPr>
          <w:rFonts w:ascii="Verdana" w:hAnsi="Verdana"/>
          <w:sz w:val="24"/>
          <w:szCs w:val="24"/>
        </w:rPr>
        <w:t xml:space="preserve"> de los pesos</w:t>
      </w:r>
      <w:r w:rsidR="001F434F">
        <w:rPr>
          <w:rFonts w:ascii="Verdana" w:hAnsi="Verdana"/>
          <w:sz w:val="24"/>
          <w:szCs w:val="24"/>
        </w:rPr>
        <w:t xml:space="preserve">, aunque después </w:t>
      </w:r>
      <w:r w:rsidR="00BA012A">
        <w:rPr>
          <w:rFonts w:ascii="Verdana" w:hAnsi="Verdana"/>
          <w:sz w:val="24"/>
          <w:szCs w:val="24"/>
        </w:rPr>
        <w:t>reg</w:t>
      </w:r>
      <w:r w:rsidR="001F434F">
        <w:rPr>
          <w:rFonts w:ascii="Verdana" w:hAnsi="Verdana"/>
          <w:sz w:val="24"/>
          <w:szCs w:val="24"/>
        </w:rPr>
        <w:t>resen.</w:t>
      </w:r>
    </w:p>
    <w:p w:rsidR="00580EB7" w:rsidRDefault="00580EB7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Las autoridades financieras </w:t>
      </w:r>
      <w:r w:rsidRPr="00580EB7">
        <w:rPr>
          <w:rFonts w:ascii="Verdana" w:hAnsi="Verdana"/>
          <w:sz w:val="24"/>
          <w:szCs w:val="24"/>
        </w:rPr>
        <w:t xml:space="preserve">(SHCP y Banxico), han declarado </w:t>
      </w:r>
      <w:r w:rsidR="001423CC">
        <w:rPr>
          <w:rFonts w:ascii="Verdana" w:hAnsi="Verdana"/>
          <w:sz w:val="24"/>
          <w:szCs w:val="24"/>
        </w:rPr>
        <w:t>atinadamente que su papel</w:t>
      </w:r>
      <w:r>
        <w:rPr>
          <w:rFonts w:ascii="Verdana" w:hAnsi="Verdana"/>
          <w:sz w:val="24"/>
          <w:szCs w:val="24"/>
        </w:rPr>
        <w:t xml:space="preserve"> no es</w:t>
      </w:r>
      <w:r w:rsidR="00521C19">
        <w:rPr>
          <w:rFonts w:ascii="Verdana" w:hAnsi="Verdana"/>
          <w:sz w:val="24"/>
          <w:szCs w:val="24"/>
        </w:rPr>
        <w:t xml:space="preserve"> determinar la paridad, y </w:t>
      </w:r>
      <w:r w:rsidR="00467CA9">
        <w:rPr>
          <w:rFonts w:ascii="Verdana" w:hAnsi="Verdana"/>
          <w:sz w:val="24"/>
          <w:szCs w:val="24"/>
        </w:rPr>
        <w:t xml:space="preserve">han </w:t>
      </w:r>
      <w:r w:rsidR="00521C19">
        <w:rPr>
          <w:rFonts w:ascii="Verdana" w:hAnsi="Verdana"/>
          <w:sz w:val="24"/>
          <w:szCs w:val="24"/>
        </w:rPr>
        <w:t>reforza</w:t>
      </w:r>
      <w:r w:rsidR="00467CA9">
        <w:rPr>
          <w:rFonts w:ascii="Verdana" w:hAnsi="Verdana"/>
          <w:sz w:val="24"/>
          <w:szCs w:val="24"/>
        </w:rPr>
        <w:t>do</w:t>
      </w:r>
      <w:r w:rsidR="00521C19">
        <w:rPr>
          <w:rFonts w:ascii="Verdana" w:hAnsi="Verdana"/>
          <w:sz w:val="24"/>
          <w:szCs w:val="24"/>
        </w:rPr>
        <w:t xml:space="preserve"> la idea que el tipo de cambio</w:t>
      </w:r>
      <w:r>
        <w:rPr>
          <w:rFonts w:ascii="Verdana" w:hAnsi="Verdana"/>
          <w:sz w:val="24"/>
          <w:szCs w:val="24"/>
        </w:rPr>
        <w:t xml:space="preserve"> se establece en función de los flujos de divisas </w:t>
      </w:r>
      <w:r w:rsidR="000B70E3">
        <w:rPr>
          <w:rFonts w:ascii="Verdana" w:hAnsi="Verdana"/>
          <w:sz w:val="24"/>
          <w:szCs w:val="24"/>
        </w:rPr>
        <w:t>del país</w:t>
      </w:r>
      <w:r w:rsidRPr="00580EB7">
        <w:rPr>
          <w:rFonts w:ascii="Verdana" w:hAnsi="Verdana"/>
          <w:sz w:val="24"/>
          <w:szCs w:val="24"/>
        </w:rPr>
        <w:t>.</w:t>
      </w:r>
      <w:r w:rsidR="00814584">
        <w:rPr>
          <w:rFonts w:ascii="Verdana" w:hAnsi="Verdana"/>
          <w:sz w:val="24"/>
          <w:szCs w:val="24"/>
        </w:rPr>
        <w:t xml:space="preserve"> Tienen razón, cada vez que el gobierno se ha adjudicado directamente el </w:t>
      </w:r>
      <w:r w:rsidR="008316FC">
        <w:rPr>
          <w:rFonts w:ascii="Verdana" w:hAnsi="Verdana"/>
          <w:sz w:val="24"/>
          <w:szCs w:val="24"/>
        </w:rPr>
        <w:t xml:space="preserve">manejo del </w:t>
      </w:r>
      <w:r w:rsidR="00814584">
        <w:rPr>
          <w:rFonts w:ascii="Verdana" w:hAnsi="Verdana"/>
          <w:sz w:val="24"/>
          <w:szCs w:val="24"/>
        </w:rPr>
        <w:t>mercado cambiario ha sido desastroso (recué</w:t>
      </w:r>
      <w:r w:rsidR="00814584" w:rsidRPr="00814584">
        <w:rPr>
          <w:rFonts w:ascii="Verdana" w:hAnsi="Verdana"/>
          <w:sz w:val="24"/>
          <w:szCs w:val="24"/>
        </w:rPr>
        <w:t xml:space="preserve">rdense las mega-devaluaciones de </w:t>
      </w:r>
      <w:r w:rsidR="00814584">
        <w:rPr>
          <w:rFonts w:ascii="Verdana" w:hAnsi="Verdana"/>
          <w:sz w:val="24"/>
          <w:szCs w:val="24"/>
        </w:rPr>
        <w:t>1976, 1982,1987 y 1994</w:t>
      </w:r>
      <w:r w:rsidR="00814584" w:rsidRPr="00814584">
        <w:rPr>
          <w:rFonts w:ascii="Verdana" w:hAnsi="Verdana"/>
          <w:sz w:val="24"/>
          <w:szCs w:val="24"/>
        </w:rPr>
        <w:t xml:space="preserve">). </w:t>
      </w:r>
      <w:r w:rsidR="00814584">
        <w:rPr>
          <w:rFonts w:ascii="Verdana" w:hAnsi="Verdana"/>
          <w:sz w:val="24"/>
          <w:szCs w:val="24"/>
        </w:rPr>
        <w:t>No obstante, es</w:t>
      </w:r>
      <w:r w:rsidR="008316FC">
        <w:rPr>
          <w:rFonts w:ascii="Verdana" w:hAnsi="Verdana"/>
          <w:sz w:val="24"/>
          <w:szCs w:val="24"/>
        </w:rPr>
        <w:t>t</w:t>
      </w:r>
      <w:r w:rsidR="00814584">
        <w:rPr>
          <w:rFonts w:ascii="Verdana" w:hAnsi="Verdana"/>
          <w:sz w:val="24"/>
          <w:szCs w:val="24"/>
        </w:rPr>
        <w:t xml:space="preserve">o no significa claudicar </w:t>
      </w:r>
      <w:r w:rsidR="00E949FB">
        <w:rPr>
          <w:rFonts w:ascii="Verdana" w:hAnsi="Verdana"/>
          <w:sz w:val="24"/>
          <w:szCs w:val="24"/>
        </w:rPr>
        <w:t xml:space="preserve">en </w:t>
      </w:r>
      <w:r w:rsidR="00814584">
        <w:rPr>
          <w:rFonts w:ascii="Verdana" w:hAnsi="Verdana"/>
          <w:sz w:val="24"/>
          <w:szCs w:val="24"/>
        </w:rPr>
        <w:t xml:space="preserve">su tarea de preservar la estabilidad financiera del país, </w:t>
      </w:r>
      <w:r w:rsidR="00D318EB">
        <w:rPr>
          <w:rFonts w:ascii="Verdana" w:hAnsi="Verdana"/>
          <w:sz w:val="24"/>
          <w:szCs w:val="24"/>
        </w:rPr>
        <w:t>lo que implica contener los sobresaltos cambiarios</w:t>
      </w:r>
      <w:r w:rsidR="00814584">
        <w:rPr>
          <w:rFonts w:ascii="Verdana" w:hAnsi="Verdana"/>
          <w:sz w:val="24"/>
          <w:szCs w:val="24"/>
        </w:rPr>
        <w:t>.</w:t>
      </w:r>
    </w:p>
    <w:p w:rsidR="001F434F" w:rsidRDefault="001F434F" w:rsidP="00D059CB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En la crisis de 2008, cuando el tipo de cambio se devaluó </w:t>
      </w:r>
      <w:r w:rsidR="00AD689F">
        <w:rPr>
          <w:rFonts w:ascii="Verdana" w:hAnsi="Verdana"/>
          <w:sz w:val="24"/>
          <w:szCs w:val="24"/>
        </w:rPr>
        <w:t>alrededor de 47 por c</w:t>
      </w:r>
      <w:r w:rsidR="000C7B70">
        <w:rPr>
          <w:rFonts w:ascii="Verdana" w:hAnsi="Verdana"/>
          <w:sz w:val="24"/>
          <w:szCs w:val="24"/>
        </w:rPr>
        <w:t>iento en poco más de seis meses, l</w:t>
      </w:r>
      <w:r w:rsidR="00AD689F">
        <w:rPr>
          <w:rFonts w:ascii="Verdana" w:hAnsi="Verdana"/>
          <w:sz w:val="24"/>
          <w:szCs w:val="24"/>
        </w:rPr>
        <w:t>as autoridades actuaron con firmeza</w:t>
      </w:r>
      <w:r w:rsidR="00AD689F" w:rsidRPr="00AD689F">
        <w:rPr>
          <w:rFonts w:ascii="Verdana" w:hAnsi="Verdana"/>
          <w:sz w:val="24"/>
          <w:szCs w:val="24"/>
        </w:rPr>
        <w:t>: vendieron 30 mil millones de d</w:t>
      </w:r>
      <w:r w:rsidR="00AD689F">
        <w:rPr>
          <w:rFonts w:ascii="Verdana" w:hAnsi="Verdana"/>
          <w:sz w:val="24"/>
          <w:szCs w:val="24"/>
        </w:rPr>
        <w:t>ólares de las reservas internacionales; subieron las tasa</w:t>
      </w:r>
      <w:r w:rsidR="00AD689F" w:rsidRPr="00AD689F">
        <w:rPr>
          <w:rFonts w:ascii="Verdana" w:hAnsi="Verdana"/>
          <w:sz w:val="24"/>
          <w:szCs w:val="24"/>
        </w:rPr>
        <w:t>s de inter</w:t>
      </w:r>
      <w:r w:rsidR="00AD689F">
        <w:rPr>
          <w:rFonts w:ascii="Verdana" w:hAnsi="Verdana"/>
          <w:sz w:val="24"/>
          <w:szCs w:val="24"/>
        </w:rPr>
        <w:t>és y se ajustaron el cinturón fiscal</w:t>
      </w:r>
      <w:r w:rsidR="000B70E3">
        <w:rPr>
          <w:rFonts w:ascii="Verdana" w:hAnsi="Verdana"/>
          <w:sz w:val="24"/>
          <w:szCs w:val="24"/>
        </w:rPr>
        <w:t xml:space="preserve"> y la paridad </w:t>
      </w:r>
      <w:r w:rsidR="000C7B70">
        <w:rPr>
          <w:rFonts w:ascii="Verdana" w:hAnsi="Verdana"/>
          <w:sz w:val="24"/>
          <w:szCs w:val="24"/>
        </w:rPr>
        <w:t xml:space="preserve">posteriormente </w:t>
      </w:r>
      <w:r w:rsidR="000B70E3">
        <w:rPr>
          <w:rFonts w:ascii="Verdana" w:hAnsi="Verdana"/>
          <w:sz w:val="24"/>
          <w:szCs w:val="24"/>
        </w:rPr>
        <w:t>se estabiliz</w:t>
      </w:r>
      <w:r w:rsidR="000C7B70">
        <w:rPr>
          <w:rFonts w:ascii="Verdana" w:hAnsi="Verdana"/>
          <w:sz w:val="24"/>
          <w:szCs w:val="24"/>
        </w:rPr>
        <w:t>ó por varios años</w:t>
      </w:r>
      <w:r w:rsidR="000B70E3">
        <w:rPr>
          <w:rFonts w:ascii="Verdana" w:hAnsi="Verdana"/>
          <w:sz w:val="24"/>
          <w:szCs w:val="24"/>
        </w:rPr>
        <w:t>.</w:t>
      </w:r>
      <w:r w:rsidR="00AD689F">
        <w:rPr>
          <w:rFonts w:ascii="Verdana" w:hAnsi="Verdana"/>
          <w:sz w:val="24"/>
          <w:szCs w:val="24"/>
        </w:rPr>
        <w:t xml:space="preserve"> Lo hicieron con discreción y efectividad, justo lo que se requiere nuevamente.</w:t>
      </w:r>
    </w:p>
    <w:p w:rsidR="000C7B70" w:rsidRDefault="000C7B70" w:rsidP="00D059CB">
      <w:pPr>
        <w:jc w:val="both"/>
        <w:rPr>
          <w:rFonts w:ascii="Verdana" w:hAnsi="Verdana"/>
          <w:sz w:val="24"/>
          <w:szCs w:val="24"/>
        </w:rPr>
      </w:pPr>
    </w:p>
    <w:p w:rsidR="000C7B70" w:rsidRPr="000C7B70" w:rsidRDefault="000C7B70" w:rsidP="00D059CB">
      <w:pPr>
        <w:jc w:val="both"/>
        <w:rPr>
          <w:rFonts w:ascii="Verdana" w:hAnsi="Verdana"/>
          <w:i/>
          <w:sz w:val="24"/>
          <w:szCs w:val="24"/>
        </w:rPr>
      </w:pPr>
      <w:r w:rsidRPr="000C7B70">
        <w:rPr>
          <w:rFonts w:ascii="Verdana" w:hAnsi="Verdana"/>
          <w:i/>
          <w:sz w:val="24"/>
          <w:szCs w:val="24"/>
        </w:rPr>
        <w:t>Socio de GEA Grupo de Economistas y Asociados.</w:t>
      </w:r>
    </w:p>
    <w:p w:rsidR="00814584" w:rsidRPr="00814584" w:rsidRDefault="00814584" w:rsidP="00D059CB">
      <w:pPr>
        <w:jc w:val="both"/>
        <w:rPr>
          <w:rFonts w:ascii="Verdana" w:hAnsi="Verdana"/>
          <w:sz w:val="24"/>
          <w:szCs w:val="24"/>
        </w:rPr>
      </w:pPr>
    </w:p>
    <w:p w:rsidR="00775AA5" w:rsidRDefault="00775AA5" w:rsidP="00D059CB">
      <w:pPr>
        <w:jc w:val="both"/>
        <w:rPr>
          <w:rFonts w:ascii="Verdana" w:hAnsi="Verdana"/>
          <w:sz w:val="24"/>
          <w:szCs w:val="24"/>
        </w:rPr>
      </w:pPr>
    </w:p>
    <w:p w:rsidR="009D7836" w:rsidRPr="005F5235" w:rsidRDefault="009D7836" w:rsidP="00D059CB">
      <w:pPr>
        <w:jc w:val="both"/>
        <w:rPr>
          <w:rFonts w:ascii="Verdana" w:hAnsi="Verdana"/>
          <w:sz w:val="24"/>
          <w:szCs w:val="24"/>
        </w:rPr>
      </w:pPr>
    </w:p>
    <w:sectPr w:rsidR="009D7836" w:rsidRPr="005F52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DC"/>
    <w:rsid w:val="00065702"/>
    <w:rsid w:val="000B70E3"/>
    <w:rsid w:val="000C7B70"/>
    <w:rsid w:val="000F4B4D"/>
    <w:rsid w:val="001423CC"/>
    <w:rsid w:val="001507AC"/>
    <w:rsid w:val="001935DA"/>
    <w:rsid w:val="001F434F"/>
    <w:rsid w:val="001F6E42"/>
    <w:rsid w:val="00230955"/>
    <w:rsid w:val="00312A94"/>
    <w:rsid w:val="00345B07"/>
    <w:rsid w:val="00360725"/>
    <w:rsid w:val="00382999"/>
    <w:rsid w:val="00423E5F"/>
    <w:rsid w:val="00467CA9"/>
    <w:rsid w:val="005125CF"/>
    <w:rsid w:val="00521C19"/>
    <w:rsid w:val="00562341"/>
    <w:rsid w:val="00580EB7"/>
    <w:rsid w:val="005F5235"/>
    <w:rsid w:val="006014DC"/>
    <w:rsid w:val="0064686E"/>
    <w:rsid w:val="006F6452"/>
    <w:rsid w:val="00721D01"/>
    <w:rsid w:val="00747D0E"/>
    <w:rsid w:val="00775AA5"/>
    <w:rsid w:val="00814584"/>
    <w:rsid w:val="00822B21"/>
    <w:rsid w:val="008316FC"/>
    <w:rsid w:val="009A3395"/>
    <w:rsid w:val="009D7836"/>
    <w:rsid w:val="00A04FA8"/>
    <w:rsid w:val="00A71CBD"/>
    <w:rsid w:val="00AD689F"/>
    <w:rsid w:val="00BA012A"/>
    <w:rsid w:val="00BE7192"/>
    <w:rsid w:val="00BE71DC"/>
    <w:rsid w:val="00C13BE9"/>
    <w:rsid w:val="00C706F5"/>
    <w:rsid w:val="00CE3429"/>
    <w:rsid w:val="00D059CB"/>
    <w:rsid w:val="00D318EB"/>
    <w:rsid w:val="00E949FB"/>
    <w:rsid w:val="00F2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Esteban Manteca</cp:lastModifiedBy>
  <cp:revision>2</cp:revision>
  <dcterms:created xsi:type="dcterms:W3CDTF">2015-10-06T18:49:00Z</dcterms:created>
  <dcterms:modified xsi:type="dcterms:W3CDTF">2015-10-06T18:49:00Z</dcterms:modified>
</cp:coreProperties>
</file>